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tabs>
          <w:tab w:val="left" w:pos="720"/>
        </w:tabs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湖州市产业投资发展集团有限公司2021-2023年招标代理定点代理机构入围项目</w:t>
      </w:r>
      <w:r>
        <w:rPr>
          <w:rFonts w:hint="eastAsia" w:ascii="宋体" w:hAnsi="宋体" w:eastAsia="宋体" w:cs="宋体"/>
          <w:b/>
          <w:sz w:val="44"/>
          <w:szCs w:val="44"/>
        </w:rPr>
        <w:t>重要通知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各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投标</w:t>
      </w:r>
      <w:r>
        <w:rPr>
          <w:rFonts w:hint="eastAsia" w:ascii="宋体" w:hAnsi="宋体" w:eastAsia="宋体" w:cs="宋体"/>
          <w:b/>
          <w:sz w:val="28"/>
          <w:szCs w:val="28"/>
        </w:rPr>
        <w:t>单位：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湖州市产业投资发展集团有限公司2021-2023年招标代理定点代理机构入围项目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【项目编号：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湖鸿采字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2021-61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Times New Roman" w:hAnsi="Times New Roman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】的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文件重要通知内容如下：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1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一、本项目因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招标文件内容有修改，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递交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投标文件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截止时间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延期至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2021年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29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日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时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分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1"/>
        <w:jc w:val="both"/>
        <w:textAlignment w:val="auto"/>
        <w:rPr>
          <w:rFonts w:hint="default" w:ascii="Times New Roman" w:hAnsi="Times New Roman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本项目</w:t>
      </w:r>
      <w:bookmarkStart w:id="0" w:name="_Toc14705"/>
      <w:bookmarkStart w:id="1" w:name="_Toc15673"/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第三章评标办法（综合评估法）</w:t>
      </w:r>
      <w:bookmarkEnd w:id="0"/>
      <w:bookmarkEnd w:id="1"/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的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评分标准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已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修改</w:t>
      </w:r>
      <w:bookmarkStart w:id="2" w:name="_GoBack"/>
      <w:bookmarkEnd w:id="2"/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，具体详见附件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一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内容。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9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特此通知！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1"/>
        <w:jc w:val="both"/>
        <w:textAlignment w:val="auto"/>
        <w:rPr>
          <w:rFonts w:hint="default" w:ascii="Times New Roman" w:hAnsi="Times New Roman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本次重要通知内容作为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文件中的组成部分，与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文件具有同等效力，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文件与此通知有冲突的，以此函为准，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文件有类似相同内容的均做相应修改。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湖州市产业投资发展集团有限公司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default" w:ascii="宋体" w:hAnsi="宋体" w:eastAsia="宋体" w:cs="宋体"/>
          <w:sz w:val="28"/>
          <w:szCs w:val="28"/>
        </w:rPr>
      </w:pPr>
      <w:r>
        <w:rPr>
          <w:rFonts w:hint="default" w:ascii="宋体" w:hAnsi="宋体" w:eastAsia="宋体" w:cs="宋体"/>
          <w:sz w:val="28"/>
          <w:szCs w:val="28"/>
        </w:rPr>
        <w:t>湖州鸿远工程管理咨询有限公司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8"/>
          <w:szCs w:val="28"/>
        </w:rPr>
        <w:t>2021年9月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附件一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修改前：</w:t>
      </w:r>
    </w:p>
    <w:tbl>
      <w:tblPr>
        <w:tblStyle w:val="7"/>
        <w:tblW w:w="14052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671"/>
        <w:gridCol w:w="1071"/>
        <w:gridCol w:w="660"/>
        <w:gridCol w:w="10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类别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序号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评审因素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分值</w:t>
            </w:r>
          </w:p>
        </w:tc>
        <w:tc>
          <w:tcPr>
            <w:tcW w:w="10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2" w:firstLineChars="200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(</w:t>
            </w:r>
            <w:r>
              <w:rPr>
                <w:sz w:val="21"/>
                <w:szCs w:val="21"/>
                <w:highlight w:val="none"/>
              </w:rPr>
              <w:t>1)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a.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企业</w:t>
            </w:r>
            <w:r>
              <w:rPr>
                <w:sz w:val="21"/>
                <w:szCs w:val="21"/>
                <w:highlight w:val="none"/>
              </w:rPr>
              <w:t>业绩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color w:val="00000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1095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5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1、</w:t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建设工程类项目业绩（12分）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60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（1）20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年1月1日至今代理过国有投资建设项目建设类招标项目个数达到50个的得2分，每增加20个加1分，最多加2分，本项最多得4分。【共4分】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60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（2）20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年1月1日至今代理过国有投资建设项目建设类招标的项目累计金额达到20000万元的得2分，每增加10000万元的加 0.5分，最多加2分，本项最多得4分。【共4分】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71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3）若上述（1、2）两项业绩投标单位提供的均为浙江省内业绩，每项加1分，最多加2分；若上述（1、2）两项业绩投标单位提供的均为湖州市（含安吉县、长兴县、德清县、吴兴区、南浔区、南太湖新区）业绩，每项加2分，最多加4分；不重复记分。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注：1、业绩时间以中标通知书时间为准，业绩需提供相应中标通知书复印件并加盖单位公章。（中标通知书需有两方盖章，即招标单位、招标代理单位，缺一不可，否则业绩不予认可）。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2、提供相关证明材料复印件并加盖单位公章，未按要求提供不得分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9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2、</w:t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造价咨询类项目业绩（18分）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7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1000万元以上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、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5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 （含）万元以下的国有投资建设项目建设类工程量清单与控制价每个得0.2分,最高得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分；【共3分】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442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5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000万元以上、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10000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（含）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万元以下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的国有投资建设项目建设类工程量清单与控制价每个得0.5分，最高得4分；【共4分】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442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000万元以上的国有投资建设项目建设类工程量清单与控制价每个得0.5分，最高得5分；【共5分】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60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4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）若上述（1、2、3）三项业绩投标单位提供的均为浙江省内业绩，每项加1分，最多加3分；若上述（1、2、3）三项业绩投标单位提供的均为湖州市（含安吉县、长兴县、德清县、吴兴区、南浔区、南太湖新区）业绩，每项加2分，最多加6分；不重复记分。【共6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注：1、业绩时间以造价管理机构备案表时间为准（若无造价管理机构备案表，业绩时间需在相关证明材料中体现），业绩需提供造价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管理机构的备案资料（若无造价管理机构备案表，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需提供控制价封面（需有委托方及编制单位双方盖章），否则需提供业主相关证明材料；如为财政审核项目，需提供财政委托的单个项目委托合同，如为年度入围合同，需提供主管部门相关证明。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2、提供相关证明材料复印件并加盖单位公章，未按要求提供不得分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highlight w:val="none"/>
                <w:lang w:val="en-US" w:eastAsia="zh-CN" w:bidi="ar-SA"/>
              </w:rPr>
              <w:t>3、采购类项目业绩（10分）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年1月1日至今国有投资或政府投资釆购类项目代理业绩：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5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1）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代理过1000万元及以上的，每个得1分，最高得4分；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6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2）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代理过500万元及以上、1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000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（含）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万元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以下的，每个得0.5分，最高得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分。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【共2分】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4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）若上述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（1、2）两项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业绩投标单位提供的均为浙江省内业绩，每项加 1分，最多加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分；若上述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（1、2）两项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业绩投标单位提供的均为湖州市（含安吉县、长兴县、德清县、吴兴区、南浔区、南太湖新区）业绩，每项加2分，最多加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4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分；不重复记分。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【共4分】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注：1、以上单个项目不得重复计分，须提供代理合同（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委托书）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中标通知书（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中标通知书需有两方盖章，即招标单位、招标代理单位，缺一不可，否则业绩不予认可）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，采购类项目代理业绩按代理合同（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委托书）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签订时间或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中标通知书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发出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时间认定。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bCs/>
                <w:sz w:val="21"/>
                <w:szCs w:val="21"/>
                <w:highlight w:val="none"/>
              </w:rPr>
              <w:t>2、提供相关证明材料复印件并加盖单位公章，未按要求提供不得分。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(2)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szCs w:val="21"/>
                <w:highlight w:val="none"/>
              </w:rPr>
              <w:t>分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e</w:t>
            </w:r>
            <w:r>
              <w:rPr>
                <w:sz w:val="21"/>
                <w:szCs w:val="21"/>
                <w:highlight w:val="none"/>
              </w:rPr>
              <w:t>.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技术方案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10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项目实施方案（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1、招标代理、造价咨询质量保证措施（1-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2、保护招标人权益的主要措施及保密措施（1-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3、招标代理质疑投诉预防及处理措施（1-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4、对特殊项目及招标成功难度较大项目的处理方案及措施（1-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highlight w:val="none"/>
              </w:rPr>
              <w:t>分）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/>
                <w:sz w:val="21"/>
                <w:szCs w:val="21"/>
                <w:highlight w:val="none"/>
              </w:rPr>
              <w:t>未提供不得分</w:t>
            </w:r>
          </w:p>
        </w:tc>
      </w:tr>
    </w:tbl>
    <w:p>
      <w:pPr>
        <w:pStyle w:val="2"/>
        <w:rPr>
          <w:rFonts w:hint="eastAsia"/>
          <w:b/>
          <w:bCs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b/>
          <w:bCs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b/>
          <w:bCs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b/>
          <w:bCs/>
          <w:highlight w:val="none"/>
          <w:vertAlign w:val="baseline"/>
          <w:lang w:val="en-US" w:eastAsia="zh-CN"/>
        </w:rPr>
      </w:pPr>
      <w:r>
        <w:rPr>
          <w:rFonts w:hint="eastAsia"/>
          <w:b/>
          <w:bCs/>
          <w:highlight w:val="none"/>
          <w:vertAlign w:val="baseline"/>
          <w:lang w:val="en-US" w:eastAsia="zh-CN"/>
        </w:rPr>
        <w:t>修改后：</w:t>
      </w:r>
    </w:p>
    <w:tbl>
      <w:tblPr>
        <w:tblStyle w:val="7"/>
        <w:tblW w:w="14037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647"/>
        <w:gridCol w:w="1245"/>
        <w:gridCol w:w="825"/>
        <w:gridCol w:w="10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类别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序号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评审因素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分值</w:t>
            </w:r>
          </w:p>
        </w:tc>
        <w:tc>
          <w:tcPr>
            <w:tcW w:w="10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2" w:firstLineChars="200"/>
              <w:jc w:val="center"/>
              <w:textAlignment w:val="auto"/>
              <w:rPr>
                <w:rFonts w:hint="eastAsia"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eastAsia="zh-CN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(</w:t>
            </w:r>
            <w:r>
              <w:rPr>
                <w:sz w:val="21"/>
                <w:szCs w:val="21"/>
                <w:highlight w:val="none"/>
              </w:rPr>
              <w:t>1)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a.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企业</w:t>
            </w:r>
            <w:r>
              <w:rPr>
                <w:sz w:val="21"/>
                <w:szCs w:val="21"/>
                <w:highlight w:val="none"/>
              </w:rPr>
              <w:t>业绩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1062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5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1、</w:t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建设工程类项目业绩（14分）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60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（1）20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年1月1日至今代理过国有投资建设项目建设类招标项目个数达到50个的得4分，每增加20个加1.5分，最多加3分，本项最多得7分。【共7分】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60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（2）20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年1月1日至今代理过国有投资建设项目建设类招标的项目累计金额达到20000万元的得3分，每增加10000万元的加 1分，最多加4分，本项最多得7分。【共7分】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注：1、业绩时间以中标通知书时间为准，业绩需提供相应中标通知书复印件并加盖单位公章。（中标通知书需有两方盖章，即招标单位、招标代理单位，缺一不可，否则业绩不予认可）。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2、提供相关证明材料复印件并加盖单位公章，未按要求提供不得分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9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2、</w:t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 w:bidi="ar-SA"/>
              </w:rPr>
              <w:t>造价咨询类项目业绩（12分）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7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1000万元以上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、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5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 （含）万元以下的国有投资建设项目建设类工程量清单与控制价每个得0.2分,最高得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分；【共3分】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442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5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000万元以上、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10000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（含）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万元以下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的国有投资建设项目建设类工程量清单与控制价每个得0.5分，最高得4分；【共4分】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442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/>
              <w:textAlignment w:val="auto"/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（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）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年1月1日至今编制</w:t>
            </w:r>
            <w:r>
              <w:rPr>
                <w:sz w:val="21"/>
                <w:szCs w:val="21"/>
                <w:highlight w:val="none"/>
                <w:lang w:val="en-US" w:eastAsia="zh-CN" w:bidi="ar-SA"/>
              </w:rPr>
              <w:t>10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000万元以上的国有投资建设项目建设类工程量清单与控制价每个得0.5分，最高得5分；【共5分】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注：1、业绩时间以造价管理机构备案表时间为准（若无造价管理机构备案表，业绩时间需在相关证明材料中体现），业绩需提供造价</w:t>
            </w: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管理机构的备案资料（若无造价管理机构备案表，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需提供控制价封面（需有委托方及编制单位双方盖章），否则需提供业主相关证明材料；如为财政审核项目，需提供财政委托的单个项目委托合同，如为年度入围合同，需提供主管部门相关证明。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2、提供相关证明材料复印件并加盖单位公章，未按要求提供不得分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highlight w:val="none"/>
                <w:lang w:val="en-US" w:eastAsia="zh-CN" w:bidi="ar-SA"/>
              </w:rPr>
              <w:t>3、采购类项目业绩（6分）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19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年1月1日至今国有投资或政府投资釆购类项目代理业绩：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5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代理过1000万元及以上的，每个得1分，最高得4分；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【共4分】</w:t>
            </w:r>
          </w:p>
          <w:p>
            <w:pPr>
              <w:pStyle w:val="21"/>
              <w:keepNext w:val="0"/>
              <w:keepLines w:val="0"/>
              <w:pageBreakBefore w:val="0"/>
              <w:widowControl w:val="0"/>
              <w:tabs>
                <w:tab w:val="left" w:pos="56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/>
              <w:textAlignment w:val="auto"/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ab/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代理过500万元及以上、1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000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（含）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万元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以下的，每个得0.5分，最高得</w:t>
            </w:r>
            <w:r>
              <w:rPr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2</w:t>
            </w:r>
            <w:r>
              <w:rPr>
                <w:rFonts w:hint="eastAsia"/>
                <w:bCs/>
                <w:color w:val="000000"/>
                <w:sz w:val="21"/>
                <w:szCs w:val="21"/>
                <w:highlight w:val="none"/>
                <w:lang w:val="en-US" w:eastAsia="zh-CN" w:bidi="ar-SA"/>
              </w:rPr>
              <w:t>分。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 w:bidi="ar-SA"/>
              </w:rPr>
              <w:t>【共2分】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注：1、以上单个项目不得重复计分，须提供代理合同（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委托书）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中标通知书（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中标通知书需有两方盖章，即招标单位、招标代理单位，缺一不可，否则业绩不予认可）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，采购类项目代理业绩按代理合同（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委托书）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签订时间或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中标通知书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  <w:lang w:eastAsia="zh-CN"/>
              </w:rPr>
              <w:t>发出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highlight w:val="none"/>
              </w:rPr>
              <w:t>时间认定。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bCs/>
                <w:sz w:val="21"/>
                <w:szCs w:val="21"/>
                <w:highlight w:val="none"/>
              </w:rPr>
              <w:t>2、提供相关证明材料复印件并加盖单位公章，未按要求提供不得分。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(2)</w:t>
            </w:r>
          </w:p>
          <w:p>
            <w:pPr>
              <w:jc w:val="center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技</w:t>
            </w:r>
          </w:p>
          <w:p>
            <w:pPr>
              <w:jc w:val="center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术</w:t>
            </w:r>
          </w:p>
          <w:p>
            <w:pPr>
              <w:jc w:val="center"/>
              <w:rPr>
                <w:szCs w:val="21"/>
                <w:highlight w:val="none"/>
              </w:rPr>
            </w:pPr>
            <w:r>
              <w:rPr>
                <w:szCs w:val="21"/>
                <w:highlight w:val="none"/>
              </w:rPr>
              <w:t>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szCs w:val="21"/>
                <w:highlight w:val="none"/>
              </w:rPr>
              <w:t>分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e</w:t>
            </w:r>
            <w:r>
              <w:rPr>
                <w:sz w:val="21"/>
                <w:szCs w:val="21"/>
                <w:highlight w:val="none"/>
              </w:rPr>
              <w:t>.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技术方案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10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项目实施方案（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1、招标代理、造价咨询质量保证措施（1-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2、保护招标人权益的主要措施及保密措施（1-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3、招标代理质疑投诉预防及处理措施（1-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4、对特殊项目及招标成功难度较大项目的处理方案及措施（1-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分）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未提供不得分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778C"/>
    <w:rsid w:val="076F1F3C"/>
    <w:rsid w:val="0E6C6419"/>
    <w:rsid w:val="14D30D01"/>
    <w:rsid w:val="1C390773"/>
    <w:rsid w:val="1CFB355D"/>
    <w:rsid w:val="1F6D1CC5"/>
    <w:rsid w:val="283E11EE"/>
    <w:rsid w:val="4315165C"/>
    <w:rsid w:val="5D1A62A2"/>
    <w:rsid w:val="61290445"/>
    <w:rsid w:val="61AF4981"/>
    <w:rsid w:val="6671607F"/>
    <w:rsid w:val="68E107BC"/>
    <w:rsid w:val="6A390503"/>
    <w:rsid w:val="75C73C25"/>
    <w:rsid w:val="77F56CE2"/>
    <w:rsid w:val="79C3584E"/>
    <w:rsid w:val="7ACB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Cs w:val="2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Acronym"/>
    <w:basedOn w:val="8"/>
    <w:qFormat/>
    <w:uiPriority w:val="0"/>
  </w:style>
  <w:style w:type="character" w:styleId="15">
    <w:name w:val="HTML Variable"/>
    <w:basedOn w:val="8"/>
    <w:uiPriority w:val="0"/>
  </w:style>
  <w:style w:type="character" w:styleId="16">
    <w:name w:val="Hyperlink"/>
    <w:basedOn w:val="8"/>
    <w:qFormat/>
    <w:uiPriority w:val="0"/>
    <w:rPr>
      <w:color w:val="333333"/>
      <w:u w:val="none"/>
    </w:rPr>
  </w:style>
  <w:style w:type="character" w:styleId="17">
    <w:name w:val="HTML Code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Cite"/>
    <w:basedOn w:val="8"/>
    <w:uiPriority w:val="0"/>
  </w:style>
  <w:style w:type="character" w:styleId="19">
    <w:name w:val="HTML Keyboard"/>
    <w:basedOn w:val="8"/>
    <w:qFormat/>
    <w:uiPriority w:val="0"/>
    <w:rPr>
      <w:rFonts w:ascii="monospace" w:hAnsi="monospace" w:eastAsia="monospace" w:cs="monospace"/>
      <w:sz w:val="20"/>
    </w:rPr>
  </w:style>
  <w:style w:type="character" w:styleId="20">
    <w:name w:val="HTML Sample"/>
    <w:basedOn w:val="8"/>
    <w:qFormat/>
    <w:uiPriority w:val="0"/>
    <w:rPr>
      <w:rFonts w:hint="default" w:ascii="monospace" w:hAnsi="monospace" w:eastAsia="monospace" w:cs="monospace"/>
    </w:rPr>
  </w:style>
  <w:style w:type="paragraph" w:customStyle="1" w:styleId="21">
    <w:name w:val="Other|1"/>
    <w:basedOn w:val="1"/>
    <w:qFormat/>
    <w:uiPriority w:val="0"/>
    <w:pPr>
      <w:widowControl w:val="0"/>
      <w:shd w:val="clear" w:color="auto" w:fill="auto"/>
      <w:spacing w:line="456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2021-09-14T08:20:00Z</dcterms:created>
  <dc:creator>Administrator</dc:creator>
  <cp:lastModifiedBy>shenshuo</cp:lastModifiedBy>
  <cp:lastPrinted>2021-09-14T09:22:36Z</cp:lastPrinted>
  <dcterms:modified xsi:type="dcterms:W3CDTF">2021-09-14T09:22:42Z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3E62EA7BA0C64347BDCF44AEBB1491BD</vt:lpwstr>
  </property>
</Properties>
</file>